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i w:val="0"/>
          <w:iCs w:val="0"/>
          <w:sz w:val="20"/>
        </w:rPr>
      </w:pPr>
    </w:p>
    <w:p>
      <w:pPr>
        <w:pStyle w:val="2"/>
        <w:rPr>
          <w:rFonts w:ascii="Times New Roman"/>
          <w:i w:val="0"/>
          <w:iCs w:val="0"/>
          <w:sz w:val="20"/>
        </w:rPr>
      </w:pPr>
    </w:p>
    <w:p>
      <w:pPr>
        <w:pStyle w:val="2"/>
        <w:rPr>
          <w:rFonts w:ascii="Times New Roman"/>
          <w:i w:val="0"/>
          <w:iCs w:val="0"/>
          <w:sz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i w:val="0"/>
          <w:iCs w:val="0"/>
          <w:sz w:val="44"/>
          <w:szCs w:val="36"/>
          <w:lang w:val="en-US" w:eastAsia="zh-CN"/>
        </w:rPr>
      </w:pPr>
      <w:bookmarkStart w:id="0" w:name="山东黄金集团有限公司"/>
      <w:bookmarkEnd w:id="0"/>
      <w:r>
        <w:rPr>
          <w:rFonts w:hint="eastAsia" w:ascii="方正小标宋简体" w:hAnsi="方正小标宋简体" w:eastAsia="方正小标宋简体" w:cs="方正小标宋简体"/>
          <w:b/>
          <w:bCs w:val="0"/>
          <w:i w:val="0"/>
          <w:iCs w:val="0"/>
          <w:sz w:val="44"/>
          <w:szCs w:val="36"/>
          <w:lang w:val="en-US" w:eastAsia="zh-CN"/>
        </w:rPr>
        <w:t>济宁孔子文化旅游集团</w:t>
      </w:r>
    </w:p>
    <w:p>
      <w:pPr>
        <w:pStyle w:val="2"/>
        <w:spacing w:before="12"/>
        <w:jc w:val="center"/>
        <w:rPr>
          <w:rFonts w:hint="eastAsia" w:ascii="方正小标宋简体" w:hAnsi="方正小标宋简体" w:eastAsia="方正小标宋简体" w:cs="方正小标宋简体"/>
          <w:b/>
          <w:bCs w:val="0"/>
          <w:i w:val="0"/>
          <w:iCs w:val="0"/>
          <w:sz w:val="44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i w:val="0"/>
          <w:iCs w:val="0"/>
          <w:sz w:val="44"/>
          <w:szCs w:val="36"/>
          <w:lang w:val="en-US" w:eastAsia="zh-CN"/>
        </w:rPr>
        <w:t>2020年度财务等重大信息公告</w:t>
      </w:r>
    </w:p>
    <w:p>
      <w:pPr>
        <w:pStyle w:val="2"/>
        <w:spacing w:before="12"/>
        <w:jc w:val="center"/>
        <w:rPr>
          <w:rFonts w:hint="eastAsia" w:ascii="方正小标宋简体" w:hAnsi="方正小标宋简体" w:eastAsia="方正小标宋简体" w:cs="方正小标宋简体"/>
          <w:b/>
          <w:bCs w:val="0"/>
          <w:i w:val="0"/>
          <w:iCs w:val="0"/>
          <w:sz w:val="44"/>
          <w:szCs w:val="36"/>
          <w:lang w:val="en-US" w:eastAsia="zh-CN"/>
        </w:rPr>
      </w:pPr>
    </w:p>
    <w:p>
      <w:pPr>
        <w:pStyle w:val="2"/>
        <w:spacing w:before="12"/>
        <w:jc w:val="center"/>
        <w:rPr>
          <w:rFonts w:hint="eastAsia" w:ascii="方正小标宋简体" w:hAnsi="方正小标宋简体" w:eastAsia="方正小标宋简体" w:cs="方正小标宋简体"/>
          <w:b/>
          <w:bCs w:val="0"/>
          <w:i w:val="0"/>
          <w:iCs w:val="0"/>
          <w:sz w:val="44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right="0" w:firstLine="0" w:firstLineChars="0"/>
        <w:jc w:val="center"/>
        <w:textAlignment w:val="auto"/>
        <w:rPr>
          <w:rFonts w:hint="eastAsia" w:ascii="方正黑体简体" w:hAnsi="方正黑体简体" w:eastAsia="方正黑体简体" w:cs="方正黑体简体"/>
          <w:i w:val="0"/>
          <w:i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i w:val="0"/>
          <w:iCs w:val="0"/>
          <w:sz w:val="32"/>
          <w:szCs w:val="32"/>
        </w:rPr>
        <w:t>重要提示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right="0" w:firstLine="640" w:firstLineChars="200"/>
        <w:textAlignment w:val="auto"/>
        <w:rPr>
          <w:rFonts w:hint="eastAsia" w:ascii="方正黑体简体" w:hAnsi="方正黑体简体" w:eastAsia="方正黑体简体" w:cs="方正黑体简体"/>
          <w:i w:val="0"/>
          <w:iCs w:val="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i w:val="0"/>
          <w:iCs w:val="0"/>
        </w:rPr>
      </w:pPr>
      <w:r>
        <w:rPr>
          <w:rFonts w:hint="eastAsia" w:ascii="方正黑体简体" w:hAnsi="方正黑体简体" w:eastAsia="方正黑体简体" w:cs="方正黑体简体"/>
          <w:i w:val="0"/>
          <w:iCs w:val="0"/>
        </w:rPr>
        <w:t>本公司董事会及全体董事保证本公告内容不存在任何虚假记载、误导性陈述或者重大遗漏，并对其内容的真实性、准确性和完整性承担个别及连带责任。</w:t>
      </w:r>
    </w:p>
    <w:p>
      <w:pPr>
        <w:spacing w:after="0" w:line="410" w:lineRule="auto"/>
        <w:jc w:val="both"/>
        <w:rPr>
          <w:rFonts w:hint="eastAsia" w:ascii="黑体" w:eastAsia="黑体"/>
          <w:i w:val="0"/>
          <w:iCs w:val="0"/>
        </w:rPr>
        <w:sectPr>
          <w:footerReference r:id="rId5" w:type="default"/>
          <w:type w:val="continuous"/>
          <w:pgSz w:w="11910" w:h="16840"/>
          <w:pgMar w:top="1440" w:right="1803" w:bottom="1440" w:left="1803" w:header="720" w:footer="1338" w:gutter="0"/>
          <w:pgNumType w:start="1"/>
          <w:cols w:space="0" w:num="1"/>
          <w:rtlGutter w:val="0"/>
          <w:docGrid w:linePitch="0" w:charSpace="0"/>
        </w:sectPr>
      </w:pPr>
    </w:p>
    <w:p>
      <w:pPr>
        <w:spacing w:before="0" w:line="619" w:lineRule="exact"/>
        <w:ind w:left="0" w:right="60" w:firstLine="0"/>
        <w:jc w:val="center"/>
        <w:rPr>
          <w:rFonts w:hint="eastAsia" w:ascii="方正小标宋简体" w:eastAsia="方正小标宋简体"/>
          <w:b/>
          <w:i w:val="0"/>
          <w:iCs w:val="0"/>
          <w:sz w:val="36"/>
        </w:rPr>
      </w:pPr>
      <w:r>
        <w:rPr>
          <w:rFonts w:hint="eastAsia" w:ascii="方正小标宋简体" w:eastAsia="方正小标宋简体"/>
          <w:b/>
          <w:i w:val="0"/>
          <w:iCs w:val="0"/>
          <w:sz w:val="36"/>
        </w:rPr>
        <w:t>目</w:t>
      </w:r>
      <w:r>
        <w:rPr>
          <w:rFonts w:hint="eastAsia" w:ascii="方正小标宋简体" w:eastAsia="方正小标宋简体"/>
          <w:b/>
          <w:i w:val="0"/>
          <w:iCs w:val="0"/>
          <w:sz w:val="36"/>
          <w:lang w:val="en-US" w:eastAsia="zh-CN"/>
        </w:rPr>
        <w:t xml:space="preserve">  </w:t>
      </w:r>
      <w:r>
        <w:rPr>
          <w:rFonts w:hint="eastAsia" w:ascii="方正小标宋简体" w:eastAsia="方正小标宋简体"/>
          <w:b/>
          <w:i w:val="0"/>
          <w:iCs w:val="0"/>
          <w:sz w:val="36"/>
        </w:rPr>
        <w:t>录</w:t>
      </w:r>
    </w:p>
    <w:p>
      <w:pPr>
        <w:spacing w:before="0" w:line="619" w:lineRule="exact"/>
        <w:ind w:left="0" w:right="60" w:firstLine="0"/>
        <w:jc w:val="center"/>
        <w:rPr>
          <w:rFonts w:hint="eastAsia" w:ascii="方正小标宋简体" w:eastAsia="方正小标宋简体"/>
          <w:b/>
          <w:i w:val="0"/>
          <w:iCs w:val="0"/>
          <w:sz w:val="36"/>
        </w:rPr>
      </w:pPr>
    </w:p>
    <w:p>
      <w:pPr>
        <w:keepNext w:val="0"/>
        <w:keepLines w:val="0"/>
        <w:pageBreakBefore w:val="0"/>
        <w:widowControl w:val="0"/>
        <w:tabs>
          <w:tab w:val="left" w:pos="1419"/>
          <w:tab w:val="right" w:leader="dot" w:pos="851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Lines="50"/>
        <w:ind w:left="0" w:right="0" w:firstLine="0"/>
        <w:jc w:val="left"/>
        <w:textAlignment w:val="auto"/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fldChar w:fldCharType="begin"/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instrText xml:space="preserve"> HYPERLINK \l "_bookmark0" </w:instrText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fldChar w:fldCharType="separate"/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第一节</w:t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ab/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释义</w:t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ab/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3</w:t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tabs>
          <w:tab w:val="left" w:pos="1419"/>
          <w:tab w:val="right" w:leader="dot" w:pos="851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Lines="50"/>
        <w:ind w:left="0" w:right="0" w:firstLine="0"/>
        <w:jc w:val="left"/>
        <w:textAlignment w:val="auto"/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fldChar w:fldCharType="begin"/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instrText xml:space="preserve"> HYPERLINK \l "_bookmark1" </w:instrText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fldChar w:fldCharType="separate"/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第二节</w:t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ab/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公司基本情况</w:t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ab/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3</w:t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tabs>
          <w:tab w:val="left" w:pos="1419"/>
          <w:tab w:val="right" w:leader="dot" w:pos="851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Lines="50"/>
        <w:ind w:left="0" w:right="0" w:firstLine="0"/>
        <w:jc w:val="left"/>
        <w:textAlignment w:val="auto"/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第三节</w:t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ab/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主要会计数据和财务指标</w:t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ab/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5</w:t>
      </w:r>
    </w:p>
    <w:p>
      <w:pPr>
        <w:keepNext w:val="0"/>
        <w:keepLines w:val="0"/>
        <w:pageBreakBefore w:val="0"/>
        <w:widowControl w:val="0"/>
        <w:tabs>
          <w:tab w:val="left" w:pos="1419"/>
          <w:tab w:val="right" w:leader="dot" w:pos="851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Lines="50"/>
        <w:ind w:left="0" w:right="0" w:firstLine="0"/>
        <w:jc w:val="left"/>
        <w:textAlignment w:val="auto"/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第四节</w:t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ab/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财务会计报告摘要</w:t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ab/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6</w:t>
      </w:r>
    </w:p>
    <w:p>
      <w:pPr>
        <w:keepNext w:val="0"/>
        <w:keepLines w:val="0"/>
        <w:pageBreakBefore w:val="0"/>
        <w:widowControl w:val="0"/>
        <w:tabs>
          <w:tab w:val="left" w:pos="1419"/>
          <w:tab w:val="right" w:leader="dot" w:pos="851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Lines="50"/>
        <w:ind w:left="0" w:right="0" w:firstLine="0"/>
        <w:jc w:val="left"/>
        <w:textAlignment w:val="auto"/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第五节</w:t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ab/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财务预算执行情况</w:t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ab/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7</w:t>
      </w:r>
    </w:p>
    <w:p>
      <w:pPr>
        <w:keepNext w:val="0"/>
        <w:keepLines w:val="0"/>
        <w:pageBreakBefore w:val="0"/>
        <w:widowControl w:val="0"/>
        <w:tabs>
          <w:tab w:val="left" w:pos="1419"/>
          <w:tab w:val="right" w:leader="dot" w:pos="851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Lines="50"/>
        <w:ind w:left="0" w:right="0" w:firstLine="0"/>
        <w:jc w:val="left"/>
        <w:textAlignment w:val="auto"/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第六节</w:t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ab/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重大事项</w:t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ab/>
      </w:r>
      <w:r>
        <w:rPr>
          <w:rFonts w:hint="default" w:ascii="Times New Roman" w:hAnsi="Times New Roman" w:eastAsia="方正黑体简体" w:cs="Times New Roman"/>
          <w:i w:val="0"/>
          <w:iCs w:val="0"/>
          <w:sz w:val="32"/>
          <w:szCs w:val="32"/>
        </w:rPr>
        <w:t>7</w:t>
      </w:r>
    </w:p>
    <w:p>
      <w:pPr>
        <w:spacing w:after="0"/>
        <w:jc w:val="left"/>
        <w:rPr>
          <w:rFonts w:hint="eastAsia" w:ascii="黑体" w:eastAsia="黑体"/>
          <w:i w:val="0"/>
          <w:iCs w:val="0"/>
          <w:sz w:val="30"/>
        </w:rPr>
        <w:sectPr>
          <w:pgSz w:w="11910" w:h="16840"/>
          <w:pgMar w:top="1440" w:right="1803" w:bottom="1440" w:left="1803" w:header="720" w:footer="1338" w:gutter="0"/>
          <w:cols w:space="0" w:num="1"/>
          <w:rtlGutter w:val="0"/>
          <w:docGrid w:linePitch="0" w:charSpace="0"/>
        </w:sectPr>
      </w:pPr>
    </w:p>
    <w:p>
      <w:pPr>
        <w:keepNext w:val="0"/>
        <w:keepLines w:val="0"/>
        <w:pageBreakBefore w:val="0"/>
        <w:widowControl w:val="0"/>
        <w:tabs>
          <w:tab w:val="left" w:pos="1281"/>
        </w:tabs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 w:firstLine="0"/>
        <w:jc w:val="center"/>
        <w:textAlignment w:val="auto"/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</w:rPr>
      </w:pPr>
      <w:bookmarkStart w:id="1" w:name="_bookmark0"/>
      <w:bookmarkEnd w:id="1"/>
      <w:r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</w:rPr>
        <w:t>第一节</w:t>
      </w:r>
      <w:r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</w:rPr>
        <w:t>释义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/>
        <w:textAlignment w:val="auto"/>
        <w:rPr>
          <w:rFonts w:ascii="方正小标宋简体"/>
          <w:i w:val="0"/>
          <w:i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leftChars="0" w:right="0"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i w:val="0"/>
          <w:i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i w:val="0"/>
          <w:iCs w:val="0"/>
          <w:sz w:val="32"/>
          <w:szCs w:val="32"/>
        </w:rPr>
        <w:t>一、本公告内容中，除非文义另有所指，下列词语具有如下含义：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bookmarkStart w:id="2" w:name="_bookmark1"/>
      <w:bookmarkEnd w:id="2"/>
      <w:bookmarkStart w:id="3" w:name="_bookmark1"/>
      <w:bookmarkEnd w:id="3"/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济宁孔子文旅集团、文旅集团、集团公司、集团、公司：指济宁孔子文化旅游集团有限公司。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 w:firstLine="643" w:firstLineChars="200"/>
        <w:textAlignment w:val="auto"/>
        <w:rPr>
          <w:rFonts w:hint="eastAsia" w:ascii="黑体" w:eastAsia="黑体"/>
          <w:b/>
          <w:bCs w:val="0"/>
          <w:i w:val="0"/>
          <w:iCs w:val="0"/>
          <w:sz w:val="32"/>
          <w:szCs w:val="32"/>
        </w:rPr>
      </w:pPr>
      <w:r>
        <w:rPr>
          <w:rFonts w:hint="eastAsia" w:ascii="黑体" w:eastAsia="黑体"/>
          <w:b/>
          <w:bCs w:val="0"/>
          <w:i w:val="0"/>
          <w:iCs w:val="0"/>
          <w:sz w:val="32"/>
          <w:szCs w:val="32"/>
        </w:rPr>
        <w:t>二、本信息公告口径说明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1.数据列报口径：除特别说明外，为集团合并口径。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2.数据计量单位：除特别注明外，货币单位为人民币。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方正仿宋_GB2312" w:cs="Times New Roman"/>
          <w:b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281"/>
        </w:tabs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 w:firstLine="0"/>
        <w:jc w:val="center"/>
        <w:textAlignment w:val="auto"/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</w:rPr>
      </w:pPr>
      <w:r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</w:rPr>
        <w:t>第二节</w:t>
      </w:r>
      <w:r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</w:rPr>
        <w:t>公司基本情况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/>
        <w:textAlignment w:val="auto"/>
        <w:rPr>
          <w:rFonts w:ascii="方正小标宋简体"/>
          <w:i w:val="0"/>
          <w:i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leftChars="0" w:right="0"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i w:val="0"/>
          <w:i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i w:val="0"/>
          <w:iCs w:val="0"/>
          <w:sz w:val="32"/>
          <w:szCs w:val="32"/>
        </w:rPr>
        <w:t>一、基本情况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中文名称：济宁孔子文化旅游集团有限公司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简        称：济宁孔子文旅集团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注册地址：济宁市高新区洸河街道吴泰闸路23号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经营范围：文化旅游资源及景区的规划设计、开发建设、运营管理; 酒店、宾馆的开发建设、经营及管理服务。旅行社经营及管理服务，会议及展览服务;文化旅游项目的规划、投资、开发、建设及运营管理。客运服务、停车场服务; 文化创意和旅游商品的设计、研发、经营;公共文化旅游设施及旅游地产的投资开发，房屋装饰装修、物业管理及自有场地租赁;文化旅游信息咨询、策划服务、教育信息咨询服务。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办公地址：济宁市高新区洸河街道吴泰闸路23号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网        址：www.jnkzwljt.com/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电子邮箱：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fldChar w:fldCharType="begin"/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instrText xml:space="preserve"> HYPERLINK "mailto:jnkzwljt@163.com" </w:instrTex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fldChar w:fldCharType="separate"/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jnkzwljt@163.com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fldChar w:fldCharType="end"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leftChars="0" w:right="0"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i w:val="0"/>
          <w:i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i w:val="0"/>
          <w:iCs w:val="0"/>
          <w:sz w:val="32"/>
          <w:szCs w:val="32"/>
        </w:rPr>
        <w:t>二、公司简介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公司简介：济宁孔子文化旅游集团系济宁市委、市政府主持成立的全资国有大型文旅企业，注册资本金8.94亿元，于2019年5月30日挂牌成立。作为弘扬优秀传统文化、推动文化旅游深度融合发展的重要平台，集团承担着济宁文化旅游国有资产运营及管理、国有资本运作、文化旅游项目建设投资等职能。下设景区运营管理、旅游宾馆酒店运营管理、项目开发建设、文化创意商品研发、文化旅游投融资运营、研学游与文旅职业培训六大板块，拥有济宁旅游惠民卡发行等资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经过两批涉旅资源的整合，集团现拥有十三家较为成熟的文旅企业，成立四家平台公司，下辖星级酒店、A级旅行社、大型游客中心、研学游、康养游基地及其他景点，各级子公司达50余家，职工2000余人。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未来发展中，济宁孔子文旅集团将以“改革、创新、效益”为主线，按照“发展大旅游、组建大集团、形成大产业”的目标思路，大力实施“652”战略，重点建设以孔子为引领的儒家文化品牌、以运河文化为主线的文旅康养项目品牌、以东方儒家为特色的餐饮服务品牌、以文化创意为核心的旅游商品品牌、以智慧旅游为依托的全域旅游品牌五大品牌，整合一批优质资源、策划一批精品线路、建设一批核心项目，加大对外合作力度，全力打造“省内一流、全国知名”的文化旅游产业综合服务平台、运营平台、投融资平台，为助推济宁市乃至全省文旅融合高质量发展做出积极贡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/>
        <w:textAlignment w:val="auto"/>
        <w:rPr>
          <w:i w:val="0"/>
          <w:i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281"/>
        </w:tabs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 w:firstLine="0"/>
        <w:jc w:val="center"/>
        <w:textAlignment w:val="auto"/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</w:rPr>
      </w:pPr>
      <w:r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</w:rPr>
        <w:t>第三节</w:t>
      </w:r>
      <w:r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</w:rPr>
        <w:t>主要会计数据和财务指标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/>
        <w:textAlignment w:val="auto"/>
        <w:rPr>
          <w:rFonts w:ascii="方正小标宋简体"/>
          <w:i w:val="0"/>
          <w:i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/>
        <w:jc w:val="right"/>
        <w:textAlignment w:val="auto"/>
        <w:rPr>
          <w:rFonts w:hint="eastAsia" w:ascii="方正仿宋简体" w:hAnsi="方正仿宋简体" w:eastAsia="方正仿宋简体" w:cs="方正仿宋简体"/>
          <w:b/>
          <w:bCs/>
          <w:i w:val="0"/>
          <w:iCs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w w:val="95"/>
          <w:sz w:val="32"/>
          <w:szCs w:val="32"/>
        </w:rPr>
        <w:t>单位：万元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50"/>
        <w:gridCol w:w="2340"/>
        <w:gridCol w:w="2070"/>
        <w:gridCol w:w="22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tabs>
                <w:tab w:val="left" w:pos="813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  <w:t>项</w:t>
            </w:r>
            <w:r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  <w:tab/>
            </w:r>
            <w:r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  <w:t>目</w:t>
            </w:r>
          </w:p>
        </w:tc>
        <w:tc>
          <w:tcPr>
            <w:tcW w:w="23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  <w:t>本期金额</w:t>
            </w:r>
          </w:p>
        </w:tc>
        <w:tc>
          <w:tcPr>
            <w:tcW w:w="20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  <w:t>上期金额</w:t>
            </w:r>
          </w:p>
        </w:tc>
        <w:tc>
          <w:tcPr>
            <w:tcW w:w="222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Microsoft JhengHei" w:cs="Times New Roman"/>
                <w:b/>
                <w:bCs w:val="0"/>
                <w:position w:val="1"/>
                <w:sz w:val="32"/>
                <w:szCs w:val="32"/>
              </w:rPr>
              <w:t>变动比例</w:t>
            </w:r>
            <w:r>
              <w:rPr>
                <w:rFonts w:hint="default" w:ascii="Times New Roman" w:hAnsi="Times New Roman" w:eastAsia="Microsoft JhengHei" w:cs="Times New Roman"/>
                <w:b/>
                <w:bCs w:val="0"/>
                <w:spacing w:val="12"/>
                <w:position w:val="1"/>
                <w:sz w:val="32"/>
                <w:szCs w:val="32"/>
              </w:rPr>
              <w:t>（</w:t>
            </w:r>
            <w:r>
              <w:rPr>
                <w:rFonts w:hint="default" w:ascii="Times New Roman" w:hAnsi="Times New Roman" w:eastAsia="Microsoft JhengHei" w:cs="Times New Roman"/>
                <w:b/>
                <w:bCs w:val="0"/>
                <w:spacing w:val="-79"/>
                <w:position w:val="1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Microsoft JhengHei" w:cs="Times New Roman"/>
                <w:b/>
                <w:bCs w:val="0"/>
                <w:spacing w:val="12"/>
                <w:w w:val="99"/>
                <w:sz w:val="32"/>
                <w:szCs w:val="32"/>
              </w:rPr>
              <w:drawing>
                <wp:inline distT="0" distB="0" distL="0" distR="0">
                  <wp:extent cx="85090" cy="154940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155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Microsoft JhengHei" w:cs="Times New Roman"/>
                <w:b/>
                <w:bCs w:val="0"/>
                <w:position w:val="1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营业总收入</w:t>
            </w:r>
          </w:p>
        </w:tc>
        <w:tc>
          <w:tcPr>
            <w:tcW w:w="23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67519.44</w:t>
            </w:r>
          </w:p>
        </w:tc>
        <w:tc>
          <w:tcPr>
            <w:tcW w:w="20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67521.33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-0.0028%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营业总成本</w:t>
            </w:r>
          </w:p>
        </w:tc>
        <w:tc>
          <w:tcPr>
            <w:tcW w:w="23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64524.54</w:t>
            </w:r>
          </w:p>
        </w:tc>
        <w:tc>
          <w:tcPr>
            <w:tcW w:w="20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62910.21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2.57%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销售费用</w:t>
            </w:r>
          </w:p>
        </w:tc>
        <w:tc>
          <w:tcPr>
            <w:tcW w:w="23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3151.06</w:t>
            </w:r>
          </w:p>
        </w:tc>
        <w:tc>
          <w:tcPr>
            <w:tcW w:w="20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4124.6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-23.60%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管理费用</w:t>
            </w:r>
          </w:p>
        </w:tc>
        <w:tc>
          <w:tcPr>
            <w:tcW w:w="23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9621.19</w:t>
            </w:r>
          </w:p>
        </w:tc>
        <w:tc>
          <w:tcPr>
            <w:tcW w:w="20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9977.18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-3.57%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2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财务费用</w:t>
            </w:r>
          </w:p>
        </w:tc>
        <w:tc>
          <w:tcPr>
            <w:tcW w:w="23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-1380.68</w:t>
            </w:r>
          </w:p>
        </w:tc>
        <w:tc>
          <w:tcPr>
            <w:tcW w:w="20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-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1630.85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15.34%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2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营业利润</w:t>
            </w:r>
          </w:p>
        </w:tc>
        <w:tc>
          <w:tcPr>
            <w:tcW w:w="23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4977.6</w:t>
            </w:r>
          </w:p>
        </w:tc>
        <w:tc>
          <w:tcPr>
            <w:tcW w:w="20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5248.02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-5.15%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2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投资收益</w:t>
            </w:r>
          </w:p>
        </w:tc>
        <w:tc>
          <w:tcPr>
            <w:tcW w:w="23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-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0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-126.71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92.11%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2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利润总额</w:t>
            </w:r>
          </w:p>
        </w:tc>
        <w:tc>
          <w:tcPr>
            <w:tcW w:w="23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6319.09</w:t>
            </w:r>
          </w:p>
        </w:tc>
        <w:tc>
          <w:tcPr>
            <w:tcW w:w="20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5076.65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24.47%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2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已交税费总额</w:t>
            </w:r>
          </w:p>
        </w:tc>
        <w:tc>
          <w:tcPr>
            <w:tcW w:w="23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1,142.4</w:t>
            </w:r>
          </w:p>
        </w:tc>
        <w:tc>
          <w:tcPr>
            <w:tcW w:w="20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5,913.8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-80.68%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2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  <w:t>净利润</w:t>
            </w:r>
          </w:p>
        </w:tc>
        <w:tc>
          <w:tcPr>
            <w:tcW w:w="23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4792.6</w:t>
            </w:r>
          </w:p>
        </w:tc>
        <w:tc>
          <w:tcPr>
            <w:tcW w:w="20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5165.71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-7.22%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2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position w:val="1"/>
                <w:sz w:val="32"/>
                <w:szCs w:val="32"/>
              </w:rPr>
              <w:t>营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spacing w:val="-3"/>
                <w:position w:val="1"/>
                <w:sz w:val="32"/>
                <w:szCs w:val="32"/>
              </w:rPr>
              <w:t>业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position w:val="1"/>
                <w:sz w:val="32"/>
                <w:szCs w:val="32"/>
              </w:rPr>
              <w:t>利润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spacing w:val="-3"/>
                <w:position w:val="1"/>
                <w:sz w:val="32"/>
                <w:szCs w:val="32"/>
              </w:rPr>
              <w:t>率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spacing w:val="6"/>
                <w:position w:val="1"/>
                <w:sz w:val="32"/>
                <w:szCs w:val="32"/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spacing w:val="-134"/>
                <w:position w:val="1"/>
                <w:sz w:val="32"/>
                <w:szCs w:val="32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spacing w:val="9"/>
                <w:w w:val="100"/>
                <w:sz w:val="32"/>
                <w:szCs w:val="32"/>
              </w:rPr>
              <w:drawing>
                <wp:inline distT="0" distB="0" distL="0" distR="0">
                  <wp:extent cx="75565" cy="135890"/>
                  <wp:effectExtent l="0" t="0" r="635" b="16510"/>
                  <wp:docPr id="36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2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136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position w:val="1"/>
                <w:sz w:val="32"/>
                <w:szCs w:val="32"/>
              </w:rPr>
              <w:t>）</w:t>
            </w:r>
          </w:p>
        </w:tc>
        <w:tc>
          <w:tcPr>
            <w:tcW w:w="23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7.37</w:t>
            </w:r>
          </w:p>
        </w:tc>
        <w:tc>
          <w:tcPr>
            <w:tcW w:w="20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7.77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-5.15%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255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tabs>
                <w:tab w:val="left" w:pos="813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Microsoft JhengHei" w:cs="Times New Roman"/>
                <w:b/>
                <w:bCs w:val="0"/>
                <w:sz w:val="32"/>
                <w:szCs w:val="32"/>
              </w:rPr>
              <w:t>项</w:t>
            </w:r>
            <w:r>
              <w:rPr>
                <w:rFonts w:hint="eastAsia" w:ascii="Times New Roman" w:hAnsi="Times New Roman" w:eastAsia="Microsoft JhengHei" w:cs="Times New Roman"/>
                <w:b/>
                <w:bCs w:val="0"/>
                <w:sz w:val="32"/>
                <w:szCs w:val="32"/>
              </w:rPr>
              <w:tab/>
            </w:r>
            <w:r>
              <w:rPr>
                <w:rFonts w:hint="eastAsia" w:ascii="Times New Roman" w:hAnsi="Times New Roman" w:eastAsia="Microsoft JhengHei" w:cs="Times New Roman"/>
                <w:b/>
                <w:bCs w:val="0"/>
                <w:sz w:val="32"/>
                <w:szCs w:val="32"/>
              </w:rPr>
              <w:t>目</w:t>
            </w:r>
          </w:p>
        </w:tc>
        <w:tc>
          <w:tcPr>
            <w:tcW w:w="234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tabs>
                <w:tab w:val="left" w:pos="813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  <w:t>期末余额</w:t>
            </w:r>
          </w:p>
        </w:tc>
        <w:tc>
          <w:tcPr>
            <w:tcW w:w="207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tabs>
                <w:tab w:val="left" w:pos="813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  <w:t>年初余额</w:t>
            </w:r>
          </w:p>
        </w:tc>
        <w:tc>
          <w:tcPr>
            <w:tcW w:w="2220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tabs>
                <w:tab w:val="left" w:pos="813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  <w:t xml:space="preserve">变动比例（ </w:t>
            </w:r>
            <w:r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  <w:drawing>
                <wp:inline distT="0" distB="0" distL="0" distR="0">
                  <wp:extent cx="85090" cy="154940"/>
                  <wp:effectExtent l="0" t="0" r="10160" b="16510"/>
                  <wp:docPr id="3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155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Microsoft JhengHei" w:cs="Times New Roman"/>
                <w:b/>
                <w:bCs w:val="0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2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position w:val="1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position w:val="1"/>
                <w:sz w:val="32"/>
                <w:szCs w:val="32"/>
              </w:rPr>
              <w:t>资产总额</w:t>
            </w:r>
          </w:p>
        </w:tc>
        <w:tc>
          <w:tcPr>
            <w:tcW w:w="23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  <w:lang w:val="en-US" w:eastAsia="zh-CN"/>
              </w:rPr>
              <w:t>563271.36</w:t>
            </w:r>
          </w:p>
        </w:tc>
        <w:tc>
          <w:tcPr>
            <w:tcW w:w="20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  <w:lang w:val="en-US" w:eastAsia="zh-CN"/>
              </w:rPr>
              <w:t>532331.77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5.81%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2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position w:val="1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position w:val="1"/>
                <w:sz w:val="32"/>
                <w:szCs w:val="32"/>
              </w:rPr>
              <w:t>负债总额</w:t>
            </w:r>
          </w:p>
        </w:tc>
        <w:tc>
          <w:tcPr>
            <w:tcW w:w="23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  <w:lang w:val="en-US" w:eastAsia="zh-CN"/>
              </w:rPr>
              <w:t>103197.65</w:t>
            </w:r>
          </w:p>
        </w:tc>
        <w:tc>
          <w:tcPr>
            <w:tcW w:w="20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  <w:lang w:val="en-US" w:eastAsia="zh-CN"/>
              </w:rPr>
              <w:t>123691.66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-16.57%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255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position w:val="1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position w:val="1"/>
                <w:sz w:val="32"/>
                <w:szCs w:val="32"/>
              </w:rPr>
              <w:t>所有者权益</w:t>
            </w:r>
          </w:p>
        </w:tc>
        <w:tc>
          <w:tcPr>
            <w:tcW w:w="23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  <w:lang w:val="en-US" w:eastAsia="zh-CN"/>
              </w:rPr>
              <w:t>460073.71</w:t>
            </w:r>
          </w:p>
        </w:tc>
        <w:tc>
          <w:tcPr>
            <w:tcW w:w="20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  <w:lang w:val="en-US" w:eastAsia="zh-CN"/>
              </w:rPr>
              <w:t>408640.12</w:t>
            </w:r>
          </w:p>
        </w:tc>
        <w:tc>
          <w:tcPr>
            <w:tcW w:w="22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position w:val="1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12.59%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/>
        <w:textAlignment w:val="auto"/>
        <w:rPr>
          <w:i w:val="0"/>
          <w:i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281"/>
        </w:tabs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 w:firstLine="0"/>
        <w:jc w:val="center"/>
        <w:textAlignment w:val="auto"/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</w:rPr>
      </w:pPr>
      <w:r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</w:rPr>
        <w:t>第四节</w:t>
      </w:r>
      <w:r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</w:rPr>
        <w:t>财务会计报告摘要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/>
        <w:textAlignment w:val="auto"/>
        <w:rPr>
          <w:rFonts w:ascii="方正小标宋简体"/>
          <w:i w:val="0"/>
          <w:i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leftChars="0" w:right="0"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i w:val="0"/>
          <w:i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i w:val="0"/>
          <w:iCs w:val="0"/>
          <w:sz w:val="32"/>
          <w:szCs w:val="32"/>
        </w:rPr>
        <w:t>财务报表编制基础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本公司财务报表以持续经营假设为基础，根据实际发生的交易和事项，按照财政部发布的《企业会计准则——基本准则》（财政部令第 33号发布、财政部令第76号修订）、于2006 年2月15日及其后颁布和修订的42项具体会计准则、企业会计准则应用指南、企业会计准则解释及其他相关规定（以下合称"企业会计准则"）规定编制。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根据企业会计准则的相关规定，本公司会计核算以权责发生制为基础。除某些金融工具和投资性房地产外，本财务报表均以历史成本为计量基础。持有待售的非流动资产，按公允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价值减去预计费用后的金额，以及符合持有待售条件时的原账面价值，取两者孰低计价。资产如果发生减值，则按照相关规定计提相应的减值准备。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leftChars="0" w:right="0"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i w:val="0"/>
          <w:i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i w:val="0"/>
          <w:iCs w:val="0"/>
          <w:sz w:val="32"/>
          <w:szCs w:val="32"/>
        </w:rPr>
        <w:t>会计政策、会计估计变更及前期重大会计差错更正情况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/>
          <w:bCs/>
          <w:i w:val="0"/>
          <w:iCs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无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leftChars="0" w:right="0" w:firstLine="643" w:firstLineChars="200"/>
        <w:textAlignment w:val="auto"/>
        <w:rPr>
          <w:rFonts w:hint="eastAsia" w:ascii="黑体" w:eastAsia="黑体"/>
          <w:i w:val="0"/>
          <w:i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i w:val="0"/>
          <w:iCs w:val="0"/>
          <w:sz w:val="32"/>
          <w:szCs w:val="32"/>
        </w:rPr>
        <w:t>三、合并范围变动情况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相较于2019年度，合并报表范围增加山东儒兴创盈融资租赁有限公司、济宁儒兴研学旅游发展有限公司、山东儒兴产业发展投资有限公司、济宁国际旅行社、济宁鸿盛文化发展有限公司、济宁儒兴智慧旅游有限公司6家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/>
        <w:textAlignment w:val="auto"/>
        <w:rPr>
          <w:rFonts w:hint="eastAsia" w:ascii="黑体" w:eastAsia="黑体"/>
          <w:i w:val="0"/>
          <w:iCs w:val="0"/>
          <w:sz w:val="32"/>
          <w:szCs w:val="32"/>
        </w:rPr>
        <w:sectPr>
          <w:pgSz w:w="11910" w:h="16840"/>
          <w:pgMar w:top="1440" w:right="1803" w:bottom="1440" w:left="1803" w:header="720" w:footer="1338" w:gutter="0"/>
          <w:cols w:space="0" w:num="1"/>
          <w:rtlGutter w:val="0"/>
          <w:docGrid w:linePitch="0" w:charSpace="0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/>
        <w:textAlignment w:val="auto"/>
        <w:rPr>
          <w:i w:val="0"/>
          <w:i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281"/>
        </w:tabs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 w:firstLine="0"/>
        <w:jc w:val="center"/>
        <w:textAlignment w:val="auto"/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</w:rPr>
      </w:pPr>
      <w:r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</w:rPr>
        <w:t>第五节 财务预算执行情况</w:t>
      </w:r>
    </w:p>
    <w:p>
      <w:pPr>
        <w:keepNext w:val="0"/>
        <w:keepLines w:val="0"/>
        <w:pageBreakBefore w:val="0"/>
        <w:widowControl w:val="0"/>
        <w:tabs>
          <w:tab w:val="left" w:pos="1281"/>
        </w:tabs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 w:firstLine="0"/>
        <w:jc w:val="center"/>
        <w:textAlignment w:val="auto"/>
        <w:rPr>
          <w:rFonts w:ascii="方正小标宋简体"/>
          <w:i w:val="0"/>
          <w:i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leftChars="0" w:right="0"/>
        <w:jc w:val="right"/>
        <w:textAlignment w:val="auto"/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val="en-US" w:eastAsia="zh-CN" w:bidi="zh-CN"/>
        </w:rPr>
        <w:t>单位：万元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0"/>
        <w:gridCol w:w="2240"/>
        <w:gridCol w:w="2240"/>
        <w:gridCol w:w="22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25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tabs>
                <w:tab w:val="left" w:pos="571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i w:val="0"/>
                <w:iCs w:val="0"/>
                <w:sz w:val="32"/>
                <w:szCs w:val="32"/>
              </w:rPr>
              <w:t>项</w:t>
            </w:r>
            <w:r>
              <w:rPr>
                <w:rFonts w:hint="eastAsia" w:ascii="方正黑体简体" w:hAnsi="方正黑体简体" w:eastAsia="方正黑体简体" w:cs="方正黑体简体"/>
                <w:b/>
                <w:i w:val="0"/>
                <w:iCs w:val="0"/>
                <w:sz w:val="32"/>
                <w:szCs w:val="32"/>
              </w:rPr>
              <w:tab/>
            </w:r>
            <w:r>
              <w:rPr>
                <w:rFonts w:hint="eastAsia" w:ascii="方正黑体简体" w:hAnsi="方正黑体简体" w:eastAsia="方正黑体简体" w:cs="方正黑体简体"/>
                <w:b/>
                <w:i w:val="0"/>
                <w:iCs w:val="0"/>
                <w:sz w:val="32"/>
                <w:szCs w:val="32"/>
              </w:rPr>
              <w:t>目</w:t>
            </w:r>
          </w:p>
        </w:tc>
        <w:tc>
          <w:tcPr>
            <w:tcW w:w="22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i w:val="0"/>
                <w:iCs w:val="0"/>
                <w:sz w:val="32"/>
                <w:szCs w:val="32"/>
              </w:rPr>
              <w:t>本期金额</w:t>
            </w:r>
          </w:p>
        </w:tc>
        <w:tc>
          <w:tcPr>
            <w:tcW w:w="22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i w:val="0"/>
                <w:iCs w:val="0"/>
                <w:sz w:val="32"/>
                <w:szCs w:val="32"/>
              </w:rPr>
              <w:t>年度预算</w:t>
            </w:r>
          </w:p>
        </w:tc>
        <w:tc>
          <w:tcPr>
            <w:tcW w:w="22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i w:val="0"/>
                <w:iCs w:val="0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i w:val="0"/>
                <w:iCs w:val="0"/>
                <w:sz w:val="32"/>
                <w:szCs w:val="32"/>
              </w:rPr>
              <w:t>完成比例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5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</w:rPr>
              <w:t>营业总收入</w:t>
            </w:r>
          </w:p>
        </w:tc>
        <w:tc>
          <w:tcPr>
            <w:tcW w:w="22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67519.44</w:t>
            </w:r>
          </w:p>
        </w:tc>
        <w:tc>
          <w:tcPr>
            <w:tcW w:w="22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  <w:lang w:val="en-US" w:eastAsia="zh-CN"/>
              </w:rPr>
              <w:t>27000</w:t>
            </w:r>
          </w:p>
        </w:tc>
        <w:tc>
          <w:tcPr>
            <w:tcW w:w="22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150.07%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5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</w:rPr>
              <w:t>营业总成本</w:t>
            </w:r>
          </w:p>
        </w:tc>
        <w:tc>
          <w:tcPr>
            <w:tcW w:w="22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64524.54</w:t>
            </w:r>
          </w:p>
        </w:tc>
        <w:tc>
          <w:tcPr>
            <w:tcW w:w="22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  <w:lang w:val="en-US" w:eastAsia="zh-CN"/>
              </w:rPr>
              <w:t>30600</w:t>
            </w:r>
          </w:p>
        </w:tc>
        <w:tc>
          <w:tcPr>
            <w:tcW w:w="22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110.86%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5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</w:rPr>
              <w:t>利润总额</w:t>
            </w:r>
          </w:p>
        </w:tc>
        <w:tc>
          <w:tcPr>
            <w:tcW w:w="22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6319.09</w:t>
            </w:r>
          </w:p>
        </w:tc>
        <w:tc>
          <w:tcPr>
            <w:tcW w:w="224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  <w:lang w:val="en-US" w:eastAsia="zh-CN"/>
              </w:rPr>
              <w:t>400</w:t>
            </w:r>
          </w:p>
        </w:tc>
        <w:tc>
          <w:tcPr>
            <w:tcW w:w="22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1479.77%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/>
        <w:textAlignment w:val="auto"/>
        <w:rPr>
          <w:i w:val="0"/>
          <w:iCs w:val="0"/>
          <w:sz w:val="32"/>
          <w:szCs w:val="32"/>
        </w:rPr>
      </w:pPr>
      <w:bookmarkStart w:id="4" w:name="_GoBack"/>
      <w:bookmarkEnd w:id="4"/>
    </w:p>
    <w:p>
      <w:pPr>
        <w:keepNext w:val="0"/>
        <w:keepLines w:val="0"/>
        <w:pageBreakBefore w:val="0"/>
        <w:widowControl w:val="0"/>
        <w:tabs>
          <w:tab w:val="left" w:pos="1281"/>
        </w:tabs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 w:firstLine="0"/>
        <w:jc w:val="center"/>
        <w:textAlignment w:val="auto"/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</w:rPr>
      </w:pPr>
      <w:r>
        <w:rPr>
          <w:rFonts w:hint="eastAsia" w:ascii="方正小标宋简体" w:eastAsia="方正小标宋简体"/>
          <w:b/>
          <w:bCs/>
          <w:i w:val="0"/>
          <w:iCs w:val="0"/>
          <w:sz w:val="32"/>
          <w:szCs w:val="32"/>
        </w:rPr>
        <w:t>第六节  重大事项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after="0" w:line="600" w:lineRule="exact"/>
        <w:ind w:left="0" w:leftChars="0" w:right="0"/>
        <w:textAlignment w:val="auto"/>
        <w:rPr>
          <w:rFonts w:ascii="方正小标宋简体"/>
          <w:i w:val="0"/>
          <w:i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leftChars="0" w:right="0"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i w:val="0"/>
          <w:i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i w:val="0"/>
          <w:iCs w:val="0"/>
          <w:sz w:val="32"/>
          <w:szCs w:val="32"/>
        </w:rPr>
        <w:t>重要人事任免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leftChars="0" w:right="0" w:rightChars="0"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i w:val="0"/>
          <w:iCs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sz w:val="32"/>
          <w:szCs w:val="32"/>
          <w:lang w:val="en-US" w:eastAsia="zh-CN"/>
        </w:rPr>
        <w:t>无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leftChars="0" w:right="0" w:rightChars="0"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i w:val="0"/>
          <w:iCs w:val="0"/>
          <w:sz w:val="32"/>
          <w:szCs w:val="32"/>
        </w:rPr>
      </w:pPr>
    </w:p>
    <w:sectPr>
      <w:pgSz w:w="11910" w:h="16840"/>
      <w:pgMar w:top="1440" w:right="1803" w:bottom="1440" w:left="1803" w:header="720" w:footer="1338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C791B27-547E-4935-96B2-06FDFEBEFCB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304CE73-9E48-445E-8608-4A42CB4514A2}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  <w:embedRegular r:id="rId3" w:fontKey="{27449467-414D-4854-B371-8DD83640D8F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3545840</wp:posOffset>
              </wp:positionH>
              <wp:positionV relativeFrom="page">
                <wp:posOffset>9702165</wp:posOffset>
              </wp:positionV>
              <wp:extent cx="470535" cy="203835"/>
              <wp:effectExtent l="0" t="0" r="0" b="0"/>
              <wp:wrapNone/>
              <wp:docPr id="4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05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1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279.2pt;margin-top:763.95pt;height:16.05pt;width:37.05pt;mso-position-horizontal-relative:page;mso-position-vertical-relative:page;z-index:-251657216;mso-width-relative:page;mso-height-relative:page;" filled="f" stroked="f" coordsize="21600,21600" o:gfxdata="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1CJs92wAAAA0BAAAPAAAAAAAAAAEAIAAAACIAAABkcnMvZG93bnJldi54bWxQ&#10;SwECFAAUAAAACACHTuJA+lVFxrsBAAByAwAADgAAAAAAAAABACAAAAAq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21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—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2E3012"/>
    <w:multiLevelType w:val="singleLevel"/>
    <w:tmpl w:val="8D2E30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53128A6"/>
    <w:multiLevelType w:val="singleLevel"/>
    <w:tmpl w:val="653128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44EF2"/>
    <w:rsid w:val="003F5F2A"/>
    <w:rsid w:val="01B45DAB"/>
    <w:rsid w:val="035717DD"/>
    <w:rsid w:val="08934BCF"/>
    <w:rsid w:val="09A66C11"/>
    <w:rsid w:val="0B8A5255"/>
    <w:rsid w:val="0BC5431F"/>
    <w:rsid w:val="0E57094F"/>
    <w:rsid w:val="20A43062"/>
    <w:rsid w:val="21C54E48"/>
    <w:rsid w:val="22701960"/>
    <w:rsid w:val="22D402FC"/>
    <w:rsid w:val="24890988"/>
    <w:rsid w:val="344B1A12"/>
    <w:rsid w:val="347F6E87"/>
    <w:rsid w:val="39FB1645"/>
    <w:rsid w:val="3B5D6FFE"/>
    <w:rsid w:val="3E4058F6"/>
    <w:rsid w:val="43AD6888"/>
    <w:rsid w:val="4D81237A"/>
    <w:rsid w:val="4DD44051"/>
    <w:rsid w:val="54617754"/>
    <w:rsid w:val="604C0EF7"/>
    <w:rsid w:val="65536CCA"/>
    <w:rsid w:val="707C4F86"/>
    <w:rsid w:val="75991A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71"/>
      <w:ind w:left="1182" w:hanging="323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pPr>
      <w:spacing w:before="149"/>
      <w:ind w:left="104"/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ScaleCrop>false</ScaleCrop>
  <LinksUpToDate>false</LinksUpToDate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2021-08-17T08:25:00Z</dcterms:created>
  <dc:creator>孙庆云</dc:creator>
  <cp:lastModifiedBy>云霄宝殿</cp:lastModifiedBy>
  <dcterms:modified xsi:type="dcterms:W3CDTF">2022-02-23T06:48:52Z</dcterms:modified>
  <dc:title>山东省省管企业财务等重大信息公开披露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2020-08-31T00:00:00Z</vt:filetime>
  </property>
  <property fmtid="{D5CDD505-2E9C-101B-9397-08002B2CF9AE}" pid="3" name="Creator">
    <vt:lpwstr>WPS Office</vt:lpwstr>
  </property>
  <property fmtid="{D5CDD505-2E9C-101B-9397-08002B2CF9AE}" pid="4" name="LastSaved">
    <vt:filetime>2021-08-17T00:00:00Z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F8E5BAA24A8F4B41AA437D18A5D54D09</vt:lpwstr>
  </property>
</Properties>
</file>